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39B28">
      <w:pPr>
        <w:spacing w:before="156" w:beforeLines="50" w:after="156" w:afterLines="50" w:line="46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附件1：政府采购需求书（货物类） </w:t>
      </w:r>
    </w:p>
    <w:p w14:paraId="371B2066">
      <w:pPr>
        <w:spacing w:before="156" w:beforeLines="50" w:after="156" w:afterLines="50"/>
        <w:jc w:val="center"/>
        <w:rPr>
          <w:rFonts w:hint="eastAsia" w:ascii="黑体" w:eastAsia="黑体"/>
          <w:color w:val="auto"/>
          <w:sz w:val="32"/>
          <w:szCs w:val="32"/>
          <w:u w:val="none"/>
        </w:rPr>
      </w:pPr>
      <w:r>
        <w:rPr>
          <w:rFonts w:hint="eastAsia" w:ascii="黑体" w:eastAsia="黑体"/>
          <w:color w:val="auto"/>
          <w:sz w:val="32"/>
          <w:szCs w:val="32"/>
          <w:u w:val="none"/>
          <w:lang w:val="en-US" w:eastAsia="zh-CN"/>
        </w:rPr>
        <w:t>池州职业技术学院2024年秋季承担省级配套项目培训耗材</w:t>
      </w:r>
      <w:r>
        <w:rPr>
          <w:rFonts w:hint="eastAsia" w:ascii="黑体" w:eastAsia="黑体"/>
          <w:color w:val="auto"/>
          <w:sz w:val="32"/>
          <w:szCs w:val="32"/>
          <w:u w:val="none"/>
        </w:rPr>
        <w:t>采购需求书</w:t>
      </w:r>
    </w:p>
    <w:p w14:paraId="18C2A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一、项目概况</w:t>
      </w:r>
    </w:p>
    <w:p w14:paraId="71B4F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1、实施背景</w:t>
      </w:r>
    </w:p>
    <w:p w14:paraId="7029B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根据《安徽省教育厅关于做好安徽省2024年职业院校教师素质提高计划省级配套项目培训工作的通知》（皖教秘〔2024〕246号）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val="en-US" w:eastAsia="zh-CN"/>
        </w:rPr>
        <w:t>由我校承担的2个安徽省2024年职业院校教师素质提高计划省级配套项目（以下简称“省级配套项目”）</w:t>
      </w:r>
      <w:r>
        <w:rPr>
          <w:rFonts w:hint="eastAsia" w:ascii="宋体" w:hAnsi="宋体"/>
          <w:color w:val="auto"/>
          <w:sz w:val="24"/>
        </w:rPr>
        <w:t>将于202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10月</w:t>
      </w:r>
      <w:r>
        <w:rPr>
          <w:rFonts w:hint="eastAsia" w:ascii="宋体" w:hAnsi="宋体"/>
          <w:color w:val="auto"/>
          <w:sz w:val="24"/>
        </w:rPr>
        <w:t>在我院举行，为办好此次</w:t>
      </w:r>
      <w:r>
        <w:rPr>
          <w:rFonts w:hint="eastAsia" w:ascii="宋体" w:hAnsi="宋体"/>
          <w:color w:val="auto"/>
          <w:sz w:val="24"/>
          <w:lang w:val="en-US" w:eastAsia="zh-CN"/>
        </w:rPr>
        <w:t>培训</w:t>
      </w:r>
      <w:r>
        <w:rPr>
          <w:rFonts w:hint="eastAsia" w:ascii="宋体" w:hAnsi="宋体"/>
          <w:color w:val="auto"/>
          <w:sz w:val="24"/>
        </w:rPr>
        <w:t>，且应满足</w:t>
      </w:r>
      <w:r>
        <w:rPr>
          <w:rFonts w:hint="eastAsia" w:ascii="宋体" w:hAnsi="宋体"/>
          <w:color w:val="auto"/>
          <w:sz w:val="24"/>
          <w:lang w:val="en-US" w:eastAsia="zh-CN"/>
        </w:rPr>
        <w:t>省级配套项目</w:t>
      </w:r>
      <w:r>
        <w:rPr>
          <w:rFonts w:hint="eastAsia" w:ascii="宋体" w:hAnsi="宋体"/>
          <w:color w:val="auto"/>
          <w:sz w:val="24"/>
        </w:rPr>
        <w:t>要求，因此急需针对该</w:t>
      </w:r>
      <w:r>
        <w:rPr>
          <w:rFonts w:hint="eastAsia" w:ascii="宋体" w:hAnsi="宋体"/>
          <w:color w:val="auto"/>
          <w:sz w:val="24"/>
          <w:lang w:val="en-US" w:eastAsia="zh-CN"/>
        </w:rPr>
        <w:t>培训项目</w:t>
      </w:r>
      <w:r>
        <w:rPr>
          <w:rFonts w:hint="eastAsia" w:ascii="宋体" w:hAnsi="宋体"/>
          <w:color w:val="auto"/>
          <w:sz w:val="24"/>
        </w:rPr>
        <w:t>配置相关基础实训场地及</w:t>
      </w:r>
      <w:r>
        <w:rPr>
          <w:rFonts w:hint="eastAsia" w:ascii="宋体" w:hAnsi="宋体"/>
          <w:color w:val="auto"/>
          <w:sz w:val="24"/>
          <w:lang w:val="en-US" w:eastAsia="zh-CN"/>
        </w:rPr>
        <w:t>培训</w:t>
      </w:r>
      <w:r>
        <w:rPr>
          <w:rFonts w:hint="eastAsia" w:ascii="宋体" w:hAnsi="宋体"/>
          <w:color w:val="auto"/>
          <w:sz w:val="24"/>
        </w:rPr>
        <w:t>的设备与材料。</w:t>
      </w:r>
    </w:p>
    <w:p w14:paraId="53F46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2、采购内容和预算</w:t>
      </w:r>
      <w:bookmarkStart w:id="2" w:name="_GoBack"/>
      <w:bookmarkEnd w:id="2"/>
    </w:p>
    <w:p w14:paraId="15B67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0" w:firstLineChars="200"/>
        <w:jc w:val="left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培训材料、场地布置</w:t>
      </w:r>
      <w:r>
        <w:rPr>
          <w:rFonts w:hint="eastAsia" w:ascii="宋体" w:hAnsi="宋体"/>
          <w:color w:val="auto"/>
          <w:sz w:val="24"/>
        </w:rPr>
        <w:t>等，预算</w:t>
      </w:r>
      <w:r>
        <w:rPr>
          <w:rFonts w:hint="eastAsia" w:ascii="宋体" w:hAnsi="宋体"/>
          <w:color w:val="auto"/>
          <w:sz w:val="24"/>
          <w:lang w:val="en-US" w:eastAsia="zh-CN"/>
        </w:rPr>
        <w:t>64722</w:t>
      </w:r>
      <w:r>
        <w:rPr>
          <w:rFonts w:hint="eastAsia" w:ascii="宋体" w:hAnsi="宋体"/>
          <w:b/>
          <w:bCs/>
          <w:color w:val="auto"/>
          <w:sz w:val="24"/>
        </w:rPr>
        <w:t>元</w:t>
      </w:r>
      <w:r>
        <w:rPr>
          <w:rFonts w:hint="eastAsia" w:ascii="宋体" w:hAnsi="宋体"/>
          <w:sz w:val="24"/>
          <w:lang w:eastAsia="zh-CN"/>
        </w:rPr>
        <w:t>。</w:t>
      </w:r>
    </w:p>
    <w:p w14:paraId="6CEB9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</w:rPr>
        <w:t>3、项目整体用途、功能目标</w:t>
      </w:r>
    </w:p>
    <w:p w14:paraId="32DFB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0" w:firstLineChars="200"/>
        <w:jc w:val="left"/>
        <w:textAlignment w:val="auto"/>
        <w:rPr>
          <w:rFonts w:hint="eastAsia" w:ascii="宋体" w:hAnsi="宋体"/>
          <w:color w:val="auto"/>
          <w:sz w:val="24"/>
        </w:rPr>
      </w:pPr>
      <w:bookmarkStart w:id="0" w:name="_Hlk505003689"/>
      <w:r>
        <w:rPr>
          <w:rFonts w:hint="eastAsia" w:ascii="宋体" w:hAnsi="宋体"/>
          <w:color w:val="auto"/>
          <w:sz w:val="24"/>
        </w:rPr>
        <w:t>通过此项目的建设，</w:t>
      </w:r>
      <w:r>
        <w:rPr>
          <w:rFonts w:hint="eastAsia" w:ascii="宋体" w:hAnsi="宋体"/>
          <w:color w:val="auto"/>
          <w:sz w:val="24"/>
          <w:lang w:val="en-US" w:eastAsia="zh-CN"/>
        </w:rPr>
        <w:t>满足省级配套项目培训需求</w:t>
      </w:r>
      <w:r>
        <w:rPr>
          <w:rFonts w:hint="eastAsia" w:ascii="宋体" w:hAnsi="宋体"/>
          <w:color w:val="auto"/>
          <w:sz w:val="24"/>
        </w:rPr>
        <w:t>。</w:t>
      </w:r>
    </w:p>
    <w:bookmarkEnd w:id="0"/>
    <w:p w14:paraId="7CFBD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kern w:val="0"/>
          <w:sz w:val="24"/>
        </w:rPr>
        <w:t>二、供应商资格条件</w:t>
      </w:r>
    </w:p>
    <w:p w14:paraId="0A73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80"/>
        <w:textAlignment w:val="auto"/>
        <w:rPr>
          <w:rFonts w:hint="eastAsia" w:ascii="宋体" w:hAnsi="宋体" w:cs="宋体"/>
          <w:bCs/>
          <w:kern w:val="0"/>
          <w:sz w:val="24"/>
        </w:rPr>
      </w:pPr>
      <w:bookmarkStart w:id="1" w:name="_Hlk505003704"/>
      <w:r>
        <w:rPr>
          <w:rFonts w:hint="eastAsia" w:ascii="宋体" w:hAnsi="宋体" w:cs="宋体"/>
          <w:bCs/>
          <w:kern w:val="0"/>
          <w:sz w:val="24"/>
        </w:rPr>
        <w:t>1、投标人应具备《政府采购法》第二十二条规定的条件；</w:t>
      </w:r>
    </w:p>
    <w:p w14:paraId="28E8E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2、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供应商为法人单位或其他组织</w:t>
      </w:r>
      <w:r>
        <w:rPr>
          <w:rFonts w:hint="eastAsia" w:ascii="宋体" w:hAnsi="宋体" w:cs="宋体"/>
          <w:bCs/>
          <w:color w:val="auto"/>
          <w:kern w:val="0"/>
          <w:sz w:val="24"/>
        </w:rPr>
        <w:t>；</w:t>
      </w:r>
    </w:p>
    <w:p w14:paraId="5F94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4" w:firstLineChars="177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3、本项目不接受联合体投标，不允许分包；</w:t>
      </w:r>
    </w:p>
    <w:p w14:paraId="5A13A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4" w:firstLineChars="177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4</w:t>
      </w:r>
      <w:r>
        <w:rPr>
          <w:rFonts w:hint="eastAsia" w:ascii="宋体" w:hAnsi="宋体" w:cs="宋体"/>
          <w:bCs/>
          <w:kern w:val="0"/>
          <w:sz w:val="24"/>
        </w:rPr>
        <w:t>、要求能够如期供货，全面、积极配合校方的工作。</w:t>
      </w:r>
    </w:p>
    <w:bookmarkEnd w:id="1"/>
    <w:p w14:paraId="27743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三、采购清单 </w:t>
      </w:r>
    </w:p>
    <w:tbl>
      <w:tblPr>
        <w:tblStyle w:val="4"/>
        <w:tblW w:w="49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579"/>
        <w:gridCol w:w="2321"/>
        <w:gridCol w:w="1076"/>
      </w:tblGrid>
      <w:tr w14:paraId="69D2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货物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5BB9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植物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14</w:t>
            </w:r>
          </w:p>
        </w:tc>
      </w:tr>
      <w:tr w14:paraId="6B5F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石材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14</w:t>
            </w:r>
          </w:p>
        </w:tc>
      </w:tr>
      <w:tr w14:paraId="6295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钢板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14</w:t>
            </w:r>
          </w:p>
        </w:tc>
      </w:tr>
      <w:tr w14:paraId="40CF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木材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14</w:t>
            </w:r>
          </w:p>
        </w:tc>
      </w:tr>
      <w:tr w14:paraId="2BA7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其他材料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14</w:t>
            </w:r>
          </w:p>
        </w:tc>
      </w:tr>
      <w:tr w14:paraId="77EC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材料布置与场地保障</w:t>
            </w:r>
          </w:p>
        </w:tc>
        <w:tc>
          <w:tcPr>
            <w:tcW w:w="1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2EE87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四、技术</w:t>
      </w:r>
      <w:r>
        <w:rPr>
          <w:rFonts w:hint="eastAsia" w:ascii="宋体" w:hAnsi="宋体" w:cs="宋体"/>
          <w:b/>
          <w:bCs/>
          <w:kern w:val="0"/>
          <w:sz w:val="24"/>
        </w:rPr>
        <w:t>参数及功能要求</w:t>
      </w:r>
    </w:p>
    <w:p w14:paraId="1DBBA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4"/>
        </w:rPr>
        <w:t>1、技术参数及功能要求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28"/>
        <w:gridCol w:w="7087"/>
        <w:gridCol w:w="851"/>
      </w:tblGrid>
      <w:tr w14:paraId="6B35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8" w:type="dxa"/>
            <w:noWrap w:val="0"/>
            <w:vAlign w:val="center"/>
          </w:tcPr>
          <w:p w14:paraId="6F9FA9D3"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28" w:type="dxa"/>
            <w:noWrap w:val="0"/>
            <w:vAlign w:val="center"/>
          </w:tcPr>
          <w:p w14:paraId="335D4C63"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货物名称</w:t>
            </w:r>
          </w:p>
        </w:tc>
        <w:tc>
          <w:tcPr>
            <w:tcW w:w="7087" w:type="dxa"/>
            <w:noWrap w:val="0"/>
            <w:vAlign w:val="center"/>
          </w:tcPr>
          <w:p w14:paraId="2806FC1E"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技术参数及功能要求</w:t>
            </w:r>
          </w:p>
        </w:tc>
        <w:tc>
          <w:tcPr>
            <w:tcW w:w="851" w:type="dxa"/>
            <w:noWrap w:val="0"/>
            <w:vAlign w:val="center"/>
          </w:tcPr>
          <w:p w14:paraId="480438E1">
            <w:pPr>
              <w:spacing w:before="156" w:after="156"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68FD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 w14:paraId="35A6EC3D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8" w:type="dxa"/>
            <w:noWrap w:val="0"/>
            <w:vAlign w:val="center"/>
          </w:tcPr>
          <w:p w14:paraId="1099507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植物</w:t>
            </w:r>
          </w:p>
        </w:tc>
        <w:tc>
          <w:tcPr>
            <w:tcW w:w="7087" w:type="dxa"/>
            <w:noWrap w:val="0"/>
            <w:vAlign w:val="center"/>
          </w:tcPr>
          <w:p w14:paraId="6F0B7112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1、每个工位1组，总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组，每组含以下品种与数量：</w:t>
            </w:r>
          </w:p>
          <w:p w14:paraId="7C9F08F0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①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桂花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-1.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地径3-4cm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，1株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；</w:t>
            </w:r>
          </w:p>
          <w:p w14:paraId="358AF62D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②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山茶，高0.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—0.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m，冠径0.3—0.5m，近球形，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株；</w:t>
            </w:r>
          </w:p>
          <w:p w14:paraId="137C1ABA">
            <w:pPr>
              <w:widowControl/>
              <w:snapToGrid w:val="0"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③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南天竹，高0.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—0.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m，冠径0.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—0.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多分支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 10株；</w:t>
            </w:r>
          </w:p>
          <w:p w14:paraId="41D56A31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④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瓜子黄杨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高0.4—0.5m，5分支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10株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</w:p>
          <w:p w14:paraId="4EA9BF6E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⑤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草花两种，蓬径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0.15-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0.2m，共80盆（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彩叶草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万寿菊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孔雀草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角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长春花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等开花草花，提供前与甲方确认时花品种）；</w:t>
            </w:r>
          </w:p>
          <w:p w14:paraId="73376997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⑥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变叶木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高0.4—0.5m，冠径0.3—0.4m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8盆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；</w:t>
            </w:r>
          </w:p>
          <w:p w14:paraId="3ACAB93E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⑦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草皮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草卷或草块，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摊开丈量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足方，1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㎡，要求草卷外观完整、颜色翠绿无发黄坏死；</w:t>
            </w:r>
          </w:p>
          <w:p w14:paraId="54E8D700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2、以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上述7种植物外，学校植物园提供幸福树14株，需由供应商在摆放植物时同时将幸福树运送至每个工位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；</w:t>
            </w:r>
          </w:p>
          <w:p w14:paraId="0AE3C604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、以上除草卷外，草花为袋苗，其他均为盆栽苗，且易脱盆。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所有植物需严格按照规格要求提供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，且保证同种植物的外观差异度小；</w:t>
            </w:r>
          </w:p>
          <w:p w14:paraId="2468614C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、以上植物供货需按甲方要求摆放到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个工位旁和集中材料堆放区；</w:t>
            </w:r>
          </w:p>
          <w:p w14:paraId="5EE276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根据双师培训实际需要，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上述所有植物按甲方要求，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提前1天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在每个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指定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工位处摆放整齐；</w:t>
            </w:r>
          </w:p>
          <w:p w14:paraId="2D9B92AA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、配合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双师培训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需要，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根据甲方要求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，完成使用多余植物的清理与装运，需要从场地搬运至学院植物园，请投标人自行提前勘察运输路线。</w:t>
            </w:r>
          </w:p>
        </w:tc>
        <w:tc>
          <w:tcPr>
            <w:tcW w:w="851" w:type="dxa"/>
            <w:noWrap w:val="0"/>
            <w:vAlign w:val="center"/>
          </w:tcPr>
          <w:p w14:paraId="7E282811">
            <w:pPr>
              <w:widowControl/>
              <w:snapToGrid w:val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中标通知书发出3日内提供样品，由校方验收合格后供货</w:t>
            </w:r>
          </w:p>
        </w:tc>
      </w:tr>
      <w:tr w14:paraId="2673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98" w:type="dxa"/>
            <w:noWrap w:val="0"/>
            <w:vAlign w:val="center"/>
          </w:tcPr>
          <w:p w14:paraId="4501058A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8" w:type="dxa"/>
            <w:noWrap w:val="0"/>
            <w:vAlign w:val="center"/>
          </w:tcPr>
          <w:p w14:paraId="4FB3581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石材</w:t>
            </w:r>
          </w:p>
        </w:tc>
        <w:tc>
          <w:tcPr>
            <w:tcW w:w="7087" w:type="dxa"/>
            <w:noWrap w:val="0"/>
            <w:vAlign w:val="center"/>
          </w:tcPr>
          <w:p w14:paraId="4DA2FB1A">
            <w:pPr>
              <w:widowControl/>
              <w:snapToGrid w:val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1、石材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组，每组含以下内容与数量：</w:t>
            </w:r>
          </w:p>
          <w:p w14:paraId="5FE16238">
            <w:pPr>
              <w:widowControl/>
              <w:snapToGrid w:val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花岗岩板，500*250*30mm，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块，芝麻白火烧面；</w:t>
            </w:r>
          </w:p>
          <w:p w14:paraId="7D479254">
            <w:pPr>
              <w:widowControl/>
              <w:snapToGrid w:val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/>
                <w:color w:val="auto"/>
                <w:szCs w:val="21"/>
                <w:lang w:bidi="ar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2、要求送货上门后，按甲方要求将所需材料依次摆放于指定工位旁边，具体摆放数量和位置按甲方意图，工位个数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个。</w:t>
            </w:r>
          </w:p>
        </w:tc>
        <w:tc>
          <w:tcPr>
            <w:tcW w:w="851" w:type="dxa"/>
            <w:noWrap w:val="0"/>
            <w:vAlign w:val="center"/>
          </w:tcPr>
          <w:p w14:paraId="0B9576A6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</w:p>
        </w:tc>
      </w:tr>
      <w:tr w14:paraId="2ED8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 w14:paraId="2EED5931"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728" w:type="dxa"/>
            <w:noWrap w:val="0"/>
            <w:vAlign w:val="center"/>
          </w:tcPr>
          <w:p w14:paraId="32F3F91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钢板</w:t>
            </w:r>
          </w:p>
        </w:tc>
        <w:tc>
          <w:tcPr>
            <w:tcW w:w="7087" w:type="dxa"/>
            <w:noWrap w:val="0"/>
            <w:vAlign w:val="center"/>
          </w:tcPr>
          <w:p w14:paraId="7CFE6B87">
            <w:pPr>
              <w:widowControl/>
              <w:snapToGri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钢板14组，每组包含以下材料。</w:t>
            </w:r>
          </w:p>
          <w:p w14:paraId="14846DE6">
            <w:pPr>
              <w:widowControl/>
              <w:snapToGri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1、钢板1规格4000*200*2mm 2块</w:t>
            </w:r>
          </w:p>
          <w:p w14:paraId="345A3DDD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不锈钢钢板，材料银白色或黑褐色，硬度适中，厚度必须达标。供应商应到现场勘查提供与以前赛事类似钢板。如因供应商未提前勘查确认，擅自供货导致材料不符</w:t>
            </w:r>
            <w:r>
              <w:rPr>
                <w:rFonts w:hint="eastAsia" w:cs="Times New Roman"/>
                <w:color w:val="auto"/>
                <w:lang w:val="en-US" w:eastAsia="zh-CN"/>
              </w:rPr>
              <w:t>培训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的，甲方有权拒绝，并要求乙方重新供货至符合要求为准，造成的损失有乙方承担。</w:t>
            </w:r>
          </w:p>
        </w:tc>
        <w:tc>
          <w:tcPr>
            <w:tcW w:w="851" w:type="dxa"/>
            <w:noWrap w:val="0"/>
            <w:vAlign w:val="center"/>
          </w:tcPr>
          <w:p w14:paraId="638D3F33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9F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 w14:paraId="787CE63A"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728" w:type="dxa"/>
            <w:noWrap w:val="0"/>
            <w:vAlign w:val="center"/>
          </w:tcPr>
          <w:p w14:paraId="590816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木材</w:t>
            </w:r>
          </w:p>
        </w:tc>
        <w:tc>
          <w:tcPr>
            <w:tcW w:w="7087" w:type="dxa"/>
            <w:noWrap w:val="0"/>
            <w:vAlign w:val="center"/>
          </w:tcPr>
          <w:p w14:paraId="5BA30D6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1、木材材料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组，每组含以下内容与数量；</w:t>
            </w:r>
          </w:p>
          <w:p w14:paraId="1A501534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防腐木面板，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*90*4000㎜，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根，樟子松（木材标准误差范围内)</w:t>
            </w:r>
          </w:p>
          <w:p w14:paraId="55C5C60C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防腐木龙骨，40*60*4000㎜，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根，樟子松（木材标准误差范围内)</w:t>
            </w:r>
          </w:p>
          <w:p w14:paraId="65CE695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防腐木立柱，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*4000㎜，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根，樟子松（木材标准误差范围内)</w:t>
            </w:r>
          </w:p>
          <w:p w14:paraId="723B0DA5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  <w:lang w:bidi="ar"/>
              </w:rPr>
              <w:t>★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、送货后按甲方要求摆放到工位旁，工位个数为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考虑材料运输损耗，请供应商预留损耗空间，必须保证所有工位均无残次品。</w:t>
            </w:r>
          </w:p>
        </w:tc>
        <w:tc>
          <w:tcPr>
            <w:tcW w:w="851" w:type="dxa"/>
            <w:noWrap w:val="0"/>
            <w:vAlign w:val="center"/>
          </w:tcPr>
          <w:p w14:paraId="025E92E5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C63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798" w:type="dxa"/>
            <w:noWrap w:val="0"/>
            <w:vAlign w:val="center"/>
          </w:tcPr>
          <w:p w14:paraId="687BCCE1"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noWrap w:val="0"/>
            <w:vAlign w:val="center"/>
          </w:tcPr>
          <w:p w14:paraId="07613A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  <w:lang w:val="en-US" w:eastAsia="zh-CN"/>
              </w:rPr>
              <w:t>材料</w:t>
            </w:r>
          </w:p>
        </w:tc>
        <w:tc>
          <w:tcPr>
            <w:tcW w:w="7087" w:type="dxa"/>
            <w:noWrap w:val="0"/>
            <w:vAlign w:val="center"/>
          </w:tcPr>
          <w:p w14:paraId="362E0D83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其他材料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 w:bidi="ar"/>
              </w:rPr>
              <w:t>除手持无线电钻8套，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其余材料为14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组，每组含以下内容与数量：</w:t>
            </w:r>
          </w:p>
          <w:p w14:paraId="511D780C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①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自攻螺丝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黑色）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，5cm长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盒，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cm长1盒，100个/盒；</w:t>
            </w:r>
          </w:p>
          <w:p w14:paraId="1721FB0A">
            <w:pPr>
              <w:widowControl/>
              <w:snapToGrid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②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水泥，32.5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普通硅酸盐水泥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,50kg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；</w:t>
            </w:r>
          </w:p>
          <w:p w14:paraId="77C8A5F5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手持无线电钻，每套除机身以外须配有2块电池及1个充电器，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为满足培训及训练使用，建议购买东成DCJZ04-13A/E；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ab/>
            </w:r>
          </w:p>
          <w:p w14:paraId="74826C0D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④防水塑料布，加厚薄膜，20m²，宽度4m；</w:t>
            </w:r>
          </w:p>
          <w:p w14:paraId="2AD50289">
            <w:pPr>
              <w:widowControl/>
              <w:snapToGrid w:val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黄沙，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12立方，供应商需自备装沙袋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每组3-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5袋，用袋子装好摆放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到工位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；</w:t>
            </w:r>
          </w:p>
          <w:p w14:paraId="43A5DB26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  <w:lang w:bidi="ar"/>
              </w:rPr>
              <w:t>★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、送货后按甲方要求摆放到工位旁，工位个数约为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个。</w:t>
            </w:r>
          </w:p>
        </w:tc>
        <w:tc>
          <w:tcPr>
            <w:tcW w:w="851" w:type="dxa"/>
            <w:noWrap w:val="0"/>
            <w:vAlign w:val="center"/>
          </w:tcPr>
          <w:p w14:paraId="3E4425C2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322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798" w:type="dxa"/>
            <w:noWrap w:val="0"/>
            <w:vAlign w:val="center"/>
          </w:tcPr>
          <w:p w14:paraId="2BB207D6">
            <w:pPr>
              <w:spacing w:line="4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728" w:type="dxa"/>
            <w:noWrap w:val="0"/>
            <w:vAlign w:val="center"/>
          </w:tcPr>
          <w:p w14:paraId="0137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与保障</w:t>
            </w:r>
          </w:p>
        </w:tc>
        <w:tc>
          <w:tcPr>
            <w:tcW w:w="7087" w:type="dxa"/>
            <w:noWrap w:val="0"/>
            <w:vAlign w:val="center"/>
          </w:tcPr>
          <w:p w14:paraId="13DA38FD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场地布置。供应商选派有经验技术人员到现场，根据培训要求，合理优化的布置现场材料、物品的摆放。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 w:bidi="ar"/>
              </w:rPr>
              <w:t>除上述招标材料外，供应商应根据甲方需要，将工具由仓库摆放至工位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（每个工位工具至少包括：多功能手持切割机，角磨机，拉杆式木工斜切锯（配架子），手持搅拌机，铁锹，耙子，插座，牛筋桶，泥桶，水桶，垃圾桶，夯锤，扫帚、簸箕等清洁工具，供应商投标时参考）；</w:t>
            </w:r>
          </w:p>
          <w:p w14:paraId="6D73D224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上述所有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材料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按组和甲方要求，在每个工位处摆放整齐，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培训时间以教育厅通知为准，供应商应有在中标通知书发出后的5日内完成材料供货及摆放的能力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如培训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时间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一经确定，供应商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不得提前和延后；</w:t>
            </w:r>
          </w:p>
          <w:p w14:paraId="350FF080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、配合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需要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，结束后至第二天上午，完成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受培训人员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使用多余植物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及硬质材料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的清理与装运，需要从场地搬运至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存放地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，请投标人自行提前勘察运输路线；</w:t>
            </w:r>
          </w:p>
          <w:p w14:paraId="4D30C4B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作品考核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期间（2天），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标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方需每天提供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不少于2人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工人在现场进行场地材料的整理与搬运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851" w:type="dxa"/>
            <w:noWrap w:val="0"/>
            <w:vAlign w:val="center"/>
          </w:tcPr>
          <w:p w14:paraId="77A83999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2AD69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2" w:firstLineChars="200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2、实施要求</w:t>
      </w:r>
    </w:p>
    <w:p w14:paraId="763FA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（1）所有设备必须是厂商原装、全新的产品，符合国家及该产品的出厂标准及相关认证规定的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所有材料是符合尺寸规定及相关要求的</w:t>
      </w:r>
      <w:r>
        <w:rPr>
          <w:rFonts w:hint="eastAsia" w:ascii="宋体" w:hAnsi="宋体" w:cs="宋体"/>
          <w:bCs/>
          <w:kern w:val="0"/>
          <w:sz w:val="24"/>
        </w:rPr>
        <w:t>。</w:t>
      </w:r>
    </w:p>
    <w:p w14:paraId="05832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（2）设备外观清洁，标记编号以及盘面显示等字体清晰，明确。 </w:t>
      </w:r>
    </w:p>
    <w:p w14:paraId="7B439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对于影响设备正常工作的必要组成部分，无论在技术规范中指出与否，报价人都应在报价文件中明确列出。 </w:t>
      </w:r>
    </w:p>
    <w:p w14:paraId="3FFC9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3）所有设备提供出厂合格证等质量证明文件。所投的产品必须是在中国范围内合法销售，原装、全新、并完全符合用户要求的产品。必须附产品原产地标签、合格证及其他相关的资料。货物完好，物品配件齐全。</w:t>
      </w:r>
    </w:p>
    <w:p w14:paraId="0CEEA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3、质量、服务要求</w:t>
      </w:r>
    </w:p>
    <w:p w14:paraId="48CF0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（1）报价人报价时所提供的设备如在实际供货时已经废型，则中标供应商必须用供货时该厂家的最新产品提供给用户单位，其性能指标不得低于所投设备，并且价格不变。</w:t>
      </w:r>
    </w:p>
    <w:p w14:paraId="7604B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　　</w:t>
      </w:r>
      <w:r>
        <w:rPr>
          <w:rFonts w:hint="eastAsia" w:ascii="宋体" w:hAnsi="宋体" w:cs="宋体"/>
          <w:bCs/>
          <w:kern w:val="0"/>
          <w:sz w:val="24"/>
        </w:rPr>
        <w:t>（2）</w:t>
      </w:r>
      <w:r>
        <w:rPr>
          <w:rFonts w:ascii="宋体" w:hAnsi="宋体" w:cs="宋体"/>
          <w:bCs/>
          <w:kern w:val="0"/>
          <w:sz w:val="24"/>
        </w:rPr>
        <w:t>所投设备质保期内免费上门服务。负责终身维修,保证有充足的部件和配件,超过保修期后,如需更换部件或配件时, 将以不高于成本价为客户进行有偿收费服务。</w:t>
      </w:r>
    </w:p>
    <w:p w14:paraId="27B3A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4、其他要求</w:t>
      </w:r>
    </w:p>
    <w:p w14:paraId="5368D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（1）中标人负责根据本项目内容各个不同的安装地点,将货物材料送到现场过程中的全部运输，包括装卸车、货物现场的搬运。</w:t>
      </w:r>
    </w:p>
    <w:p w14:paraId="6EE93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（2）各种设备，必须提供装箱清单，按装箱清单验收货物。</w:t>
      </w:r>
    </w:p>
    <w:p w14:paraId="43ABF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（3）货物在现场的保管由中标人负责，直至项目安装、验收完毕。</w:t>
      </w:r>
    </w:p>
    <w:p w14:paraId="13C4B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（4）货物在安装调试验收合格前的保险由中标人负责，中标人负责其派出的现场服务人员人身意外保险。</w:t>
      </w:r>
    </w:p>
    <w:p w14:paraId="72B21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五、商务需求（合同主要条款）</w:t>
      </w:r>
    </w:p>
    <w:p w14:paraId="24EDD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kern w:val="0"/>
          <w:sz w:val="24"/>
        </w:rPr>
        <w:t>1、供货要求</w:t>
      </w:r>
    </w:p>
    <w:p w14:paraId="3EB57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时间与</w:t>
      </w:r>
      <w:r>
        <w:rPr>
          <w:rFonts w:ascii="宋体" w:hAnsi="宋体" w:cs="宋体"/>
          <w:bCs/>
          <w:kern w:val="0"/>
          <w:sz w:val="24"/>
        </w:rPr>
        <w:t>质量要求</w:t>
      </w:r>
      <w:r>
        <w:rPr>
          <w:rFonts w:hint="eastAsia"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/>
          <w:bCs/>
          <w:kern w:val="0"/>
          <w:sz w:val="24"/>
        </w:rPr>
        <w:t>此</w:t>
      </w:r>
      <w:r>
        <w:rPr>
          <w:rFonts w:ascii="宋体" w:hAnsi="宋体" w:cs="宋体"/>
          <w:b/>
          <w:bCs/>
          <w:kern w:val="0"/>
          <w:sz w:val="24"/>
        </w:rPr>
        <w:t>次</w:t>
      </w:r>
      <w:r>
        <w:rPr>
          <w:rFonts w:hint="eastAsia" w:ascii="宋体" w:hAnsi="宋体" w:cs="宋体"/>
          <w:b/>
          <w:bCs/>
          <w:kern w:val="0"/>
          <w:sz w:val="24"/>
        </w:rPr>
        <w:t>包别均</w:t>
      </w:r>
      <w:r>
        <w:rPr>
          <w:rFonts w:ascii="宋体" w:hAnsi="宋体" w:cs="宋体"/>
          <w:b/>
          <w:bCs/>
          <w:kern w:val="0"/>
          <w:sz w:val="24"/>
        </w:rPr>
        <w:t>用于</w:t>
      </w:r>
      <w:r>
        <w:rPr>
          <w:rFonts w:ascii="宋体" w:hAnsi="宋体" w:cs="宋体"/>
          <w:b/>
          <w:bCs/>
          <w:color w:val="auto"/>
          <w:kern w:val="0"/>
          <w:sz w:val="24"/>
        </w:rPr>
        <w:t>省级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配套项目培训</w:t>
      </w:r>
      <w:r>
        <w:rPr>
          <w:rFonts w:ascii="宋体" w:hAnsi="宋体" w:cs="宋体"/>
          <w:b/>
          <w:bCs/>
          <w:color w:val="auto"/>
          <w:kern w:val="0"/>
          <w:sz w:val="24"/>
        </w:rPr>
        <w:t>，</w:t>
      </w:r>
      <w:r>
        <w:rPr>
          <w:rFonts w:hint="eastAsia" w:ascii="宋体" w:hAnsi="宋体" w:cs="宋体"/>
          <w:b/>
          <w:bCs/>
          <w:kern w:val="0"/>
          <w:sz w:val="24"/>
        </w:rPr>
        <w:t>一旦</w:t>
      </w:r>
      <w:r>
        <w:rPr>
          <w:rFonts w:ascii="宋体" w:hAnsi="宋体" w:cs="宋体"/>
          <w:b/>
          <w:bCs/>
          <w:kern w:val="0"/>
          <w:sz w:val="24"/>
        </w:rPr>
        <w:t>合同签订</w:t>
      </w:r>
      <w:r>
        <w:rPr>
          <w:rFonts w:hint="eastAsia" w:ascii="宋体" w:hAnsi="宋体" w:cs="宋体"/>
          <w:b/>
          <w:bCs/>
          <w:kern w:val="0"/>
          <w:sz w:val="24"/>
        </w:rPr>
        <w:t>，供应</w:t>
      </w:r>
      <w:r>
        <w:rPr>
          <w:rFonts w:ascii="宋体" w:hAnsi="宋体" w:cs="宋体"/>
          <w:b/>
          <w:bCs/>
          <w:kern w:val="0"/>
          <w:sz w:val="24"/>
        </w:rPr>
        <w:t>商</w:t>
      </w:r>
      <w:r>
        <w:rPr>
          <w:rFonts w:hint="eastAsia" w:ascii="宋体" w:hAnsi="宋体" w:cs="宋体"/>
          <w:b/>
          <w:bCs/>
          <w:kern w:val="0"/>
          <w:sz w:val="24"/>
        </w:rPr>
        <w:t>即需要</w:t>
      </w:r>
      <w:r>
        <w:rPr>
          <w:rFonts w:ascii="宋体" w:hAnsi="宋体" w:cs="宋体"/>
          <w:b/>
          <w:bCs/>
          <w:kern w:val="0"/>
          <w:sz w:val="24"/>
        </w:rPr>
        <w:t>按照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省级配套项目培训</w:t>
      </w:r>
      <w:r>
        <w:rPr>
          <w:rFonts w:ascii="宋体" w:hAnsi="宋体" w:cs="宋体"/>
          <w:b/>
          <w:bCs/>
          <w:kern w:val="0"/>
          <w:sz w:val="24"/>
        </w:rPr>
        <w:t>要求，确保</w:t>
      </w:r>
      <w:r>
        <w:rPr>
          <w:rFonts w:hint="eastAsia" w:ascii="宋体" w:hAnsi="宋体" w:cs="宋体"/>
          <w:b/>
          <w:bCs/>
          <w:kern w:val="0"/>
          <w:sz w:val="24"/>
        </w:rPr>
        <w:t>供货</w:t>
      </w:r>
      <w:r>
        <w:rPr>
          <w:rFonts w:ascii="宋体" w:hAnsi="宋体" w:cs="宋体"/>
          <w:b/>
          <w:bCs/>
          <w:kern w:val="0"/>
          <w:sz w:val="24"/>
        </w:rPr>
        <w:t>时间、</w:t>
      </w:r>
      <w:r>
        <w:rPr>
          <w:rFonts w:hint="eastAsia" w:ascii="宋体" w:hAnsi="宋体" w:cs="宋体"/>
          <w:b/>
          <w:bCs/>
          <w:kern w:val="0"/>
          <w:sz w:val="24"/>
        </w:rPr>
        <w:t>供货</w:t>
      </w:r>
      <w:r>
        <w:rPr>
          <w:rFonts w:ascii="宋体" w:hAnsi="宋体" w:cs="宋体"/>
          <w:b/>
          <w:bCs/>
          <w:kern w:val="0"/>
          <w:sz w:val="24"/>
        </w:rPr>
        <w:t>质量。</w:t>
      </w:r>
      <w:r>
        <w:rPr>
          <w:rFonts w:hint="eastAsia" w:ascii="宋体" w:hAnsi="宋体" w:cs="宋体"/>
          <w:b/>
          <w:bCs/>
          <w:kern w:val="0"/>
          <w:sz w:val="24"/>
        </w:rPr>
        <w:t>为确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保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省级配套项目培训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的</w:t>
      </w:r>
      <w:r>
        <w:rPr>
          <w:rFonts w:hint="eastAsia" w:ascii="宋体" w:hAnsi="宋体" w:cs="宋体"/>
          <w:b/>
          <w:bCs/>
          <w:kern w:val="0"/>
          <w:sz w:val="24"/>
        </w:rPr>
        <w:t>正常举行，供货商应在投标前自行勘察现场确保运输，供货商在中标后应提供所有产品样品，产品不得有误差。</w:t>
      </w:r>
    </w:p>
    <w:p w14:paraId="5904B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地点：池州职业技术学院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园林赛训中心（建设路大门进门40米处）</w:t>
      </w:r>
      <w:r>
        <w:rPr>
          <w:rFonts w:hint="eastAsia" w:ascii="宋体" w:hAnsi="宋体" w:cs="宋体"/>
          <w:bCs/>
          <w:kern w:val="0"/>
          <w:sz w:val="24"/>
        </w:rPr>
        <w:t>；</w:t>
      </w:r>
    </w:p>
    <w:p w14:paraId="6D4E1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包装要求:所有设备必须包装完好，涉及的所有仪器设备等必须原厂包装，不得拆封等必须原厂包装，不得拆封。</w:t>
      </w:r>
    </w:p>
    <w:p w14:paraId="546E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outlineLvl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2、安装调试</w:t>
      </w:r>
    </w:p>
    <w:p w14:paraId="4B270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（1）中标人负责到用户指定的安装地点进行安装调试。</w:t>
      </w:r>
    </w:p>
    <w:p w14:paraId="6DA5D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（2）中标人应设安装负责人，负责安装协调管理工作。</w:t>
      </w:r>
    </w:p>
    <w:p w14:paraId="1043F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（3）安装所需工具设施物料由中标人自备、自费运到现场，完工后自费搬走。</w:t>
      </w:r>
    </w:p>
    <w:p w14:paraId="2C4FC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（4）调试：按国家相关验收规范进行。</w:t>
      </w:r>
    </w:p>
    <w:p w14:paraId="2BD7A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（5）仪器设备的拆箱、安装、通电、调试等项工作由中标人负责，但必须在采购人指定人员的参与下进行。调试的原始记录须经各方签字后作为验收的文件之一。</w:t>
      </w:r>
    </w:p>
    <w:p w14:paraId="257C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outlineLvl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3、检测验收</w:t>
      </w:r>
    </w:p>
    <w:p w14:paraId="37600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（1）投标人货物安装调试合格后，经过双方检验认可，签署验收报告，产品保修期自验收合格之日起算，由投标人提供产品保修文件。</w:t>
      </w:r>
    </w:p>
    <w:p w14:paraId="2D217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（2）当满足以下条件时，采购单位才向中标人签发货物验收报告：</w:t>
      </w:r>
    </w:p>
    <w:p w14:paraId="31459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1）中标人已按照合同规定提供了全部产品及完整的技术资料。 </w:t>
      </w:r>
    </w:p>
    <w:p w14:paraId="02DF6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2）货物符合招标文件技术规格书的要求，性能满足要求。 </w:t>
      </w:r>
    </w:p>
    <w:p w14:paraId="31FAA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3）货物具备产品合格证。    </w:t>
      </w:r>
    </w:p>
    <w:p w14:paraId="5CD56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2" w:firstLineChars="200"/>
        <w:textAlignment w:val="auto"/>
        <w:outlineLvl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4"/>
        </w:rPr>
        <w:t>、付款方式</w:t>
      </w:r>
    </w:p>
    <w:p w14:paraId="06A7C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货物供货完毕，</w:t>
      </w: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培训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结束且</w:t>
      </w:r>
      <w:r>
        <w:rPr>
          <w:rFonts w:hint="eastAsia" w:ascii="宋体" w:hAnsi="宋体" w:cs="宋体"/>
          <w:bCs/>
          <w:kern w:val="0"/>
          <w:sz w:val="24"/>
        </w:rPr>
        <w:t>验收合格后，一次性付清。</w:t>
      </w:r>
    </w:p>
    <w:p w14:paraId="28B03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eastAsia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kern w:val="0"/>
          <w:sz w:val="24"/>
        </w:rPr>
        <w:t>六、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采购方式</w:t>
      </w:r>
    </w:p>
    <w:p w14:paraId="093BB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lang w:val="en-US" w:eastAsia="zh-CN"/>
        </w:rPr>
        <w:t>采购方式采取询价采购。在满足需求书要求的前提下，报价最低的供应商为中标人，如满足需求书要求的前提下报价相同则采用抽签的方式确定中标人。</w:t>
      </w:r>
    </w:p>
    <w:p w14:paraId="2C26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                                  </w:t>
      </w:r>
    </w:p>
    <w:p w14:paraId="0396A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/>
          <w:bCs/>
          <w:szCs w:val="21"/>
        </w:rPr>
        <w:t xml:space="preserve">                                     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</w:p>
    <w:p w14:paraId="24243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560" w:firstLineChars="1900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</w:t>
      </w:r>
    </w:p>
    <w:p w14:paraId="0983C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560" w:firstLineChars="1900"/>
        <w:textAlignment w:val="auto"/>
        <w:rPr>
          <w:rFonts w:hint="eastAsia" w:ascii="宋体" w:hAnsi="宋体" w:cs="宋体"/>
          <w:bCs/>
          <w:kern w:val="0"/>
          <w:sz w:val="24"/>
        </w:rPr>
      </w:pPr>
    </w:p>
    <w:p w14:paraId="49544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560" w:firstLineChars="1900"/>
        <w:textAlignment w:val="auto"/>
        <w:rPr>
          <w:rFonts w:hint="eastAsia" w:ascii="宋体" w:hAnsi="宋体" w:cs="宋体"/>
          <w:bCs/>
          <w:kern w:val="0"/>
          <w:sz w:val="24"/>
        </w:rPr>
      </w:pPr>
    </w:p>
    <w:p w14:paraId="03972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560" w:firstLineChars="1900"/>
        <w:textAlignment w:val="auto"/>
        <w:rPr>
          <w:rFonts w:hint="eastAsia" w:ascii="宋体" w:hAnsi="宋体" w:cs="宋体"/>
          <w:bCs/>
          <w:kern w:val="0"/>
          <w:sz w:val="24"/>
        </w:rPr>
      </w:pPr>
    </w:p>
    <w:p w14:paraId="716739A4"/>
    <w:p w14:paraId="4EE368C8"/>
    <w:p w14:paraId="197FE696"/>
    <w:sectPr>
      <w:footerReference r:id="rId3" w:type="default"/>
      <w:footerReference r:id="rId4" w:type="even"/>
      <w:pgSz w:w="11906" w:h="16838"/>
      <w:pgMar w:top="1701" w:right="1588" w:bottom="1588" w:left="1588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CCDF2">
    <w:pPr>
      <w:pStyle w:val="3"/>
      <w:ind w:right="315" w:rightChars="150"/>
      <w:jc w:val="center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6C309">
    <w:pPr>
      <w:pStyle w:val="3"/>
      <w:ind w:firstLine="360" w:firstLineChars="150"/>
      <w:jc w:val="center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kern w:val="0"/>
        <w:sz w:val="24"/>
        <w:szCs w:val="24"/>
      </w:rPr>
      <w:t xml:space="preserve">— </w:t>
    </w:r>
    <w:r>
      <w:rPr>
        <w:rFonts w:hint="eastAsia" w:ascii="宋体" w:hAnsi="宋体"/>
        <w:kern w:val="0"/>
        <w:sz w:val="24"/>
        <w:szCs w:val="24"/>
      </w:rPr>
      <w:fldChar w:fldCharType="begin"/>
    </w:r>
    <w:r>
      <w:rPr>
        <w:rFonts w:hint="eastAsia" w:ascii="宋体" w:hAnsi="宋体"/>
        <w:kern w:val="0"/>
        <w:sz w:val="24"/>
        <w:szCs w:val="24"/>
      </w:rPr>
      <w:instrText xml:space="preserve"> PAGE </w:instrText>
    </w:r>
    <w:r>
      <w:rPr>
        <w:rFonts w:hint="eastAsia" w:ascii="宋体" w:hAnsi="宋体"/>
        <w:kern w:val="0"/>
        <w:sz w:val="24"/>
        <w:szCs w:val="24"/>
      </w:rPr>
      <w:fldChar w:fldCharType="separate"/>
    </w:r>
    <w:r>
      <w:rPr>
        <w:rFonts w:ascii="宋体" w:hAnsi="宋体"/>
        <w:kern w:val="0"/>
        <w:sz w:val="24"/>
        <w:szCs w:val="24"/>
      </w:rPr>
      <w:t>2</w:t>
    </w:r>
    <w:r>
      <w:rPr>
        <w:rFonts w:hint="eastAsia" w:ascii="宋体" w:hAnsi="宋体"/>
        <w:kern w:val="0"/>
        <w:sz w:val="24"/>
        <w:szCs w:val="24"/>
      </w:rPr>
      <w:fldChar w:fldCharType="end"/>
    </w:r>
    <w:r>
      <w:rPr>
        <w:rFonts w:hint="eastAsia" w:ascii="宋体" w:hAnsi="宋体"/>
        <w:kern w:val="0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NDNhNzQwZDA3NDI0YmEyOGFjZTBiNDg1N2NjY2EifQ=="/>
  </w:docVars>
  <w:rsids>
    <w:rsidRoot w:val="0AD13965"/>
    <w:rsid w:val="030A02A8"/>
    <w:rsid w:val="03BD58AF"/>
    <w:rsid w:val="04FE78CD"/>
    <w:rsid w:val="0AD13965"/>
    <w:rsid w:val="11CD45A9"/>
    <w:rsid w:val="11D75395"/>
    <w:rsid w:val="15DB095E"/>
    <w:rsid w:val="17062DA3"/>
    <w:rsid w:val="191360BD"/>
    <w:rsid w:val="1D172E11"/>
    <w:rsid w:val="1EA27284"/>
    <w:rsid w:val="1F712FF7"/>
    <w:rsid w:val="235E382C"/>
    <w:rsid w:val="23A909F9"/>
    <w:rsid w:val="34161A22"/>
    <w:rsid w:val="359375CA"/>
    <w:rsid w:val="370F2BDF"/>
    <w:rsid w:val="38715EFF"/>
    <w:rsid w:val="3D524A98"/>
    <w:rsid w:val="40AC3A23"/>
    <w:rsid w:val="40AD3D4B"/>
    <w:rsid w:val="44D2214F"/>
    <w:rsid w:val="4698326B"/>
    <w:rsid w:val="4E340D9C"/>
    <w:rsid w:val="57FE2916"/>
    <w:rsid w:val="5DBC642D"/>
    <w:rsid w:val="61EB75B5"/>
    <w:rsid w:val="689433F1"/>
    <w:rsid w:val="68E61B04"/>
    <w:rsid w:val="69E63468"/>
    <w:rsid w:val="6ACE4BFE"/>
    <w:rsid w:val="6CE52656"/>
    <w:rsid w:val="707C1D92"/>
    <w:rsid w:val="70A66401"/>
    <w:rsid w:val="714A1482"/>
    <w:rsid w:val="74B77C0A"/>
    <w:rsid w:val="74D163E9"/>
    <w:rsid w:val="77163BB5"/>
    <w:rsid w:val="771C566F"/>
    <w:rsid w:val="779F7699"/>
    <w:rsid w:val="78DD7C22"/>
    <w:rsid w:val="7A6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autoRedefine/>
    <w:qFormat/>
    <w:uiPriority w:val="0"/>
    <w:rPr>
      <w:color w:val="4E4342"/>
      <w:u w:val="none"/>
    </w:rPr>
  </w:style>
  <w:style w:type="paragraph" w:customStyle="1" w:styleId="8">
    <w:name w:val="一级标题"/>
    <w:basedOn w:val="2"/>
    <w:autoRedefine/>
    <w:qFormat/>
    <w:uiPriority w:val="0"/>
    <w:pPr>
      <w:spacing w:line="240" w:lineRule="auto"/>
      <w:ind w:firstLine="0" w:firstLineChars="0"/>
    </w:pPr>
    <w:rPr>
      <w:rFonts w:ascii="Times New Roman" w:hAnsi="Times New Roman" w:eastAsia="黑体" w:cs="Times New Roman"/>
      <w:b w:val="0"/>
      <w:bCs/>
      <w:color w:val="000000"/>
      <w:sz w:val="28"/>
      <w:szCs w:val="28"/>
    </w:rPr>
  </w:style>
  <w:style w:type="paragraph" w:customStyle="1" w:styleId="9">
    <w:name w:val="二级标题"/>
    <w:basedOn w:val="1"/>
    <w:next w:val="1"/>
    <w:autoRedefine/>
    <w:qFormat/>
    <w:uiPriority w:val="0"/>
    <w:pPr>
      <w:keepNext/>
      <w:keepLines/>
      <w:spacing w:beforeLines="0" w:afterLines="0" w:line="240" w:lineRule="auto"/>
      <w:outlineLvl w:val="2"/>
    </w:pPr>
    <w:rPr>
      <w:rFonts w:ascii="Arial" w:hAnsi="Arial" w:eastAsia="黑体" w:cs="Arial"/>
      <w:bCs/>
      <w:sz w:val="24"/>
      <w:szCs w:val="23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3187</Words>
  <Characters>3365</Characters>
  <Lines>0</Lines>
  <Paragraphs>0</Paragraphs>
  <TotalTime>13</TotalTime>
  <ScaleCrop>false</ScaleCrop>
  <LinksUpToDate>false</LinksUpToDate>
  <CharactersWithSpaces>3570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2023-12-17T03:39:00Z</dcterms:created>
  <dc:creator>小武</dc:creator>
  <cp:lastModifiedBy>小怪兽</cp:lastModifiedBy>
  <dcterms:modified xsi:type="dcterms:W3CDTF">2024-09-11T02:00:17Z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B697B8FDAEAC4C9A9F9271CCF4784CF1_13</vt:lpwstr>
  </property>
</Properties>
</file>